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4490" w14:textId="37E44AF0" w:rsidR="00F74DAC" w:rsidRDefault="00F74DAC" w:rsidP="00F74DAC">
      <w:pPr>
        <w:pStyle w:val="3GPPHeader"/>
        <w:spacing w:after="60"/>
        <w:rPr>
          <w:sz w:val="32"/>
          <w:szCs w:val="32"/>
          <w:highlight w:val="yellow"/>
        </w:rPr>
      </w:pPr>
      <w:bookmarkStart w:id="0" w:name="_GoBack"/>
      <w:bookmarkEnd w:id="0"/>
      <w:r>
        <w:t>3GPP TSG-RAN WG2 #100</w:t>
      </w:r>
      <w:r>
        <w:tab/>
      </w:r>
      <w:r>
        <w:rPr>
          <w:sz w:val="32"/>
          <w:szCs w:val="32"/>
        </w:rPr>
        <w:t xml:space="preserve">Tdoc </w:t>
      </w:r>
      <w:r w:rsidR="007A60A3" w:rsidRPr="007A60A3">
        <w:rPr>
          <w:sz w:val="32"/>
          <w:szCs w:val="32"/>
        </w:rPr>
        <w:t>R2-1713914</w:t>
      </w:r>
    </w:p>
    <w:p w14:paraId="1DF446F2" w14:textId="77777777" w:rsidR="00F74DAC" w:rsidRDefault="00F74DAC" w:rsidP="00F74DAC">
      <w:pPr>
        <w:pStyle w:val="3GPPHeader"/>
      </w:pPr>
      <w:r>
        <w:t>Reno, US, 27</w:t>
      </w:r>
      <w:r>
        <w:rPr>
          <w:vertAlign w:val="superscript"/>
        </w:rPr>
        <w:t>th</w:t>
      </w:r>
      <w:r>
        <w:t xml:space="preserve"> Nov – 1</w:t>
      </w:r>
      <w:r>
        <w:rPr>
          <w:vertAlign w:val="superscript"/>
        </w:rPr>
        <w:t>st</w:t>
      </w:r>
      <w:r>
        <w:t xml:space="preserve"> Dec 2017</w:t>
      </w:r>
    </w:p>
    <w:p w14:paraId="3F52647E" w14:textId="77777777" w:rsidR="00F74DAC" w:rsidRDefault="00F74DAC" w:rsidP="00F74DAC">
      <w:pPr>
        <w:pStyle w:val="3GPPHeader"/>
        <w:rPr>
          <w:sz w:val="22"/>
          <w:szCs w:val="22"/>
          <w:lang w:val="en-US"/>
        </w:rPr>
      </w:pPr>
      <w:r>
        <w:rPr>
          <w:sz w:val="22"/>
          <w:szCs w:val="22"/>
          <w:lang w:val="en-US"/>
        </w:rPr>
        <w:t>Agenda Item:</w:t>
      </w:r>
      <w:r>
        <w:rPr>
          <w:sz w:val="22"/>
          <w:szCs w:val="22"/>
          <w:lang w:val="en-US"/>
        </w:rPr>
        <w:tab/>
        <w:t>10.2.11</w:t>
      </w:r>
    </w:p>
    <w:p w14:paraId="56E6008D" w14:textId="77777777" w:rsidR="00F74DAC" w:rsidRDefault="00F74DAC" w:rsidP="00F74DAC">
      <w:pPr>
        <w:pStyle w:val="3GPPHeader"/>
        <w:rPr>
          <w:sz w:val="22"/>
          <w:szCs w:val="22"/>
        </w:rPr>
      </w:pPr>
      <w:r>
        <w:rPr>
          <w:sz w:val="22"/>
          <w:szCs w:val="22"/>
        </w:rPr>
        <w:t>Source:</w:t>
      </w:r>
      <w:r>
        <w:rPr>
          <w:sz w:val="22"/>
          <w:szCs w:val="22"/>
        </w:rPr>
        <w:tab/>
        <w:t>Ericsson</w:t>
      </w:r>
    </w:p>
    <w:p w14:paraId="50B005B3" w14:textId="77777777" w:rsidR="00F74DAC" w:rsidRDefault="00F74DAC" w:rsidP="00F74DAC">
      <w:pPr>
        <w:pStyle w:val="3GPPHeader"/>
        <w:rPr>
          <w:sz w:val="22"/>
          <w:szCs w:val="22"/>
        </w:rPr>
      </w:pPr>
      <w:r>
        <w:rPr>
          <w:sz w:val="22"/>
          <w:szCs w:val="22"/>
        </w:rPr>
        <w:t>Title:</w:t>
      </w:r>
      <w:r>
        <w:rPr>
          <w:sz w:val="22"/>
          <w:szCs w:val="22"/>
        </w:rPr>
        <w:tab/>
        <w:t>Mobility Enhancements in NR</w:t>
      </w:r>
    </w:p>
    <w:p w14:paraId="0BD79420" w14:textId="77777777" w:rsidR="00F74DAC" w:rsidRDefault="00F74DAC" w:rsidP="00F74DAC">
      <w:pPr>
        <w:pStyle w:val="3GPPHeader"/>
        <w:rPr>
          <w:sz w:val="22"/>
          <w:szCs w:val="22"/>
        </w:rPr>
      </w:pPr>
      <w:r>
        <w:rPr>
          <w:sz w:val="22"/>
          <w:szCs w:val="22"/>
        </w:rPr>
        <w:t>Document for:</w:t>
      </w:r>
      <w:r>
        <w:rPr>
          <w:sz w:val="22"/>
          <w:szCs w:val="22"/>
        </w:rPr>
        <w:tab/>
        <w:t>Discussion, Decision</w:t>
      </w:r>
    </w:p>
    <w:p w14:paraId="685A38E9" w14:textId="77777777" w:rsidR="00F74DAC" w:rsidRDefault="00F74DAC" w:rsidP="00F74DAC"/>
    <w:p w14:paraId="68461FB4" w14:textId="77777777" w:rsidR="00F74DAC" w:rsidRDefault="00F74DAC" w:rsidP="00F74DAC">
      <w:pPr>
        <w:pStyle w:val="Heading1"/>
        <w:numPr>
          <w:ilvl w:val="0"/>
          <w:numId w:val="19"/>
        </w:numPr>
        <w:textAlignment w:val="auto"/>
      </w:pPr>
      <w:bookmarkStart w:id="1" w:name="_Ref498085473"/>
      <w:r>
        <w:t>Introduction</w:t>
      </w:r>
      <w:bookmarkEnd w:id="1"/>
    </w:p>
    <w:p w14:paraId="653B2D28" w14:textId="77777777" w:rsidR="00F74DAC" w:rsidRDefault="00F74DAC" w:rsidP="00F74DAC">
      <w:r>
        <w:t>In RAN2#97, the following has been agreed.</w:t>
      </w:r>
    </w:p>
    <w:p w14:paraId="2A403F89" w14:textId="77777777" w:rsidR="00F74DAC" w:rsidRDefault="00F74DAC" w:rsidP="00F74DAC">
      <w:pPr>
        <w:pStyle w:val="Doc-text2"/>
        <w:pBdr>
          <w:top w:val="single" w:sz="4" w:space="1" w:color="auto"/>
          <w:left w:val="single" w:sz="4" w:space="4" w:color="auto"/>
          <w:bottom w:val="single" w:sz="4" w:space="1" w:color="auto"/>
          <w:right w:val="single" w:sz="4" w:space="4" w:color="auto"/>
        </w:pBdr>
      </w:pPr>
      <w:r>
        <w:t>Agreements</w:t>
      </w:r>
    </w:p>
    <w:p w14:paraId="7DD222BD" w14:textId="77777777" w:rsidR="00F74DAC" w:rsidRDefault="00F74DAC" w:rsidP="00F74DAC">
      <w:pPr>
        <w:pStyle w:val="Doc-text2"/>
        <w:pBdr>
          <w:top w:val="single" w:sz="4" w:space="1" w:color="auto"/>
          <w:left w:val="single" w:sz="4" w:space="4" w:color="auto"/>
          <w:bottom w:val="single" w:sz="4" w:space="1" w:color="auto"/>
          <w:right w:val="single" w:sz="4" w:space="4" w:color="auto"/>
        </w:pBd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018BA0CE" w14:textId="77777777" w:rsidR="00F74DAC" w:rsidRDefault="00F74DAC" w:rsidP="00F74DAC"/>
    <w:p w14:paraId="64A4A0ED" w14:textId="77777777" w:rsidR="00F74DAC" w:rsidRDefault="00F74DAC" w:rsidP="00F74DAC">
      <w:r>
        <w:t>In RAN2#97_bis it was further agreed that</w:t>
      </w:r>
    </w:p>
    <w:p w14:paraId="1ABE96BE" w14:textId="77777777" w:rsidR="00F74DAC" w:rsidRDefault="00F74DAC" w:rsidP="00F74DAC">
      <w:pPr>
        <w:pStyle w:val="Doc-text2"/>
        <w:jc w:val="both"/>
        <w:rPr>
          <w:rFonts w:asciiTheme="minorHAnsi" w:hAnsiTheme="minorHAnsi"/>
        </w:rPr>
      </w:pPr>
      <w:r>
        <w:t>=&gt;</w:t>
      </w:r>
      <w:r>
        <w:tab/>
        <w:t>We will progress the basic HO mechanism for NR (not including LTE Rel-14-like mobility enhancements) and when stable we can discuss potential optimisations to target close to 0ms or 0ms interruption.</w:t>
      </w:r>
    </w:p>
    <w:p w14:paraId="1CA9B285" w14:textId="77777777" w:rsidR="00F74DAC" w:rsidRDefault="00F74DAC" w:rsidP="00F74DAC"/>
    <w:p w14:paraId="35325456" w14:textId="77777777" w:rsidR="00F74DAC" w:rsidRDefault="00F74DAC" w:rsidP="00F74DAC">
      <w:r>
        <w:t>Although handover enhancements are expected to be treated after December, we believe this is a good time to start reviewing handover enhancements proposed in LTE and discuss and analyse their applicability in NR.</w:t>
      </w:r>
    </w:p>
    <w:p w14:paraId="66DA2DAC" w14:textId="77777777" w:rsidR="00F74DAC" w:rsidRDefault="00F74DAC" w:rsidP="00F74DAC">
      <w:pPr>
        <w:pStyle w:val="Heading1"/>
        <w:numPr>
          <w:ilvl w:val="0"/>
          <w:numId w:val="19"/>
        </w:numPr>
        <w:textAlignment w:val="auto"/>
      </w:pPr>
      <w:bookmarkStart w:id="2" w:name="_Ref498083370"/>
      <w:r>
        <w:t>Existing Mobility Enhancements</w:t>
      </w:r>
      <w:bookmarkEnd w:id="2"/>
    </w:p>
    <w:p w14:paraId="5B1715CB" w14:textId="2E641694" w:rsidR="00F74DAC" w:rsidRDefault="00F74DAC" w:rsidP="00F74DAC">
      <w:r>
        <w:t xml:space="preserve">As a baseline, we review the mobility enhancements standardized in LTE and review their applicability in NR scenario. We also introduce new enhancement(s) for NR. The need for mobility enhancements was identified for reducing latency in network which benefits TCP based application, gaming, real time applications like VoLTE/OTT VoIP and video telephone/conferencing. The below discussed mobility enhancements can be found in TS 36.300 </w:t>
      </w:r>
      <w:r>
        <w:fldChar w:fldCharType="begin"/>
      </w:r>
      <w:r>
        <w:instrText xml:space="preserve"> REF _Ref498067158 \r \h </w:instrText>
      </w:r>
      <w:r>
        <w:fldChar w:fldCharType="separate"/>
      </w:r>
      <w:r w:rsidR="006505A3">
        <w:t>[1]</w:t>
      </w:r>
      <w:r>
        <w:fldChar w:fldCharType="end"/>
      </w:r>
      <w:r>
        <w:t xml:space="preserve"> :</w:t>
      </w:r>
    </w:p>
    <w:p w14:paraId="1FAC05AF" w14:textId="77777777" w:rsidR="00F74DAC" w:rsidRDefault="00F74DAC" w:rsidP="00F74DAC">
      <w:pPr>
        <w:pStyle w:val="Heading2"/>
        <w:numPr>
          <w:ilvl w:val="1"/>
          <w:numId w:val="19"/>
        </w:numPr>
        <w:textAlignment w:val="auto"/>
      </w:pPr>
      <w:r>
        <w:t>RACH Less Handover</w:t>
      </w:r>
    </w:p>
    <w:p w14:paraId="2562C47F" w14:textId="6541F6E6" w:rsidR="00F74DAC" w:rsidRDefault="00F74DAC" w:rsidP="00F74DAC">
      <w:r>
        <w:t xml:space="preserve">RACH-less handover was studied in TR 36.881 </w:t>
      </w:r>
      <w:r>
        <w:fldChar w:fldCharType="begin"/>
      </w:r>
      <w:r>
        <w:instrText xml:space="preserve"> REF _Ref498073074 \r \h </w:instrText>
      </w:r>
      <w:r>
        <w:fldChar w:fldCharType="separate"/>
      </w:r>
      <w:r w:rsidR="006505A3">
        <w:t>[2]</w:t>
      </w:r>
      <w:r>
        <w:fldChar w:fldCharType="end"/>
      </w:r>
      <w:r>
        <w:t xml:space="preserve"> and was intended for reducing latency during HO in synchronized network, i.e. source cell, target cell, and the UE are synchronized. One proposed option was at a mutually agreed time, UE switches from source cell to target cell, without requiring random access procedure. Alternatively, the UE can follow the legacy handover procedure but skips the RACH related steps. Based on the condition that the releveant nodes are synchronized, the source can stop DL transmission to UE, the target cell provides an uplink grant to the UE, and UE connects to the target cell. Obtaining TA, which is a major objective of RACH procedure, can be resolved in a synchronized network. The UE first obtains the DL propagation delay difference between the source cell and the target cell. Assuming the UL propagation delay is the same as DL propagation delay, the UE can derive the target cell TA from the source cell TA by :</w:t>
      </w:r>
      <m:oMath>
        <m:r>
          <w:rPr>
            <w:rFonts w:ascii="Cambria Math" w:hAnsi="Cambria Math"/>
          </w:rPr>
          <m:t xml:space="preserve"> T</m:t>
        </m:r>
        <m:sSub>
          <m:sSubPr>
            <m:ctrlPr>
              <w:rPr>
                <w:rFonts w:ascii="Cambria Math" w:hAnsi="Cambria Math"/>
                <w:i/>
              </w:rPr>
            </m:ctrlPr>
          </m:sSubPr>
          <m:e>
            <m:r>
              <w:rPr>
                <w:rFonts w:ascii="Cambria Math" w:hAnsi="Cambria Math"/>
              </w:rPr>
              <m:t>A</m:t>
            </m:r>
          </m:e>
          <m:sub>
            <m:r>
              <w:rPr>
                <w:rFonts w:ascii="Cambria Math" w:hAnsi="Cambria Math"/>
              </w:rPr>
              <m:t>target</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source</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are the DL propagation delay of the source and target cell, respectively. UL grant for the transmission of handover command response can be pre-allocated in handover command, which then needs to be kept valid within a period of time, starting from the time when the UE achievers synchronizations with the target cell. Altenatively, UL grant allocation can be dynamically scheduled in the target cell.</w:t>
      </w:r>
    </w:p>
    <w:p w14:paraId="5918FF45" w14:textId="77777777" w:rsidR="00F74DAC" w:rsidRDefault="00F74DAC" w:rsidP="00F74DAC">
      <w:pPr>
        <w:pStyle w:val="Observation"/>
        <w:numPr>
          <w:ilvl w:val="0"/>
          <w:numId w:val="17"/>
        </w:numPr>
        <w:ind w:left="1701" w:hanging="1701"/>
        <w:textAlignment w:val="auto"/>
      </w:pPr>
      <w:bookmarkStart w:id="3" w:name="_Toc498086662"/>
      <w:bookmarkStart w:id="4" w:name="_Toc498086635"/>
      <w:bookmarkStart w:id="5" w:name="_Toc498617853"/>
      <w:bookmarkStart w:id="6" w:name="_Toc498617750"/>
      <w:bookmarkStart w:id="7" w:name="_Toc498619186"/>
      <w:bookmarkStart w:id="8" w:name="_Toc498619209"/>
      <w:r>
        <w:lastRenderedPageBreak/>
        <w:t>RACH-less handover scenarios identified for LTE are still relevant in NR</w:t>
      </w:r>
      <w:bookmarkEnd w:id="3"/>
      <w:bookmarkEnd w:id="4"/>
      <w:r>
        <w:t>.</w:t>
      </w:r>
      <w:bookmarkEnd w:id="5"/>
      <w:bookmarkEnd w:id="6"/>
      <w:bookmarkEnd w:id="7"/>
      <w:bookmarkEnd w:id="8"/>
    </w:p>
    <w:p w14:paraId="2F05F0AE" w14:textId="77777777" w:rsidR="00F74DAC" w:rsidRDefault="00F74DAC" w:rsidP="00F74DAC"/>
    <w:p w14:paraId="11EF0B4C" w14:textId="4F26421A" w:rsidR="00F74DAC" w:rsidRDefault="00F74DAC" w:rsidP="00F74DAC">
      <w:r>
        <w:t xml:space="preserve">In NR, the scenarios identified in LTE is not altered and hence, RACH-less handover can be supported. However, the shortcomings of RACH-less procedures such as the reservation of UL resources should be taken into account. Moreover, other handover enhancements (for instance conditional handover, see Section </w:t>
      </w:r>
      <w:r>
        <w:fldChar w:fldCharType="begin"/>
      </w:r>
      <w:r>
        <w:instrText xml:space="preserve"> REF _Ref498603320 \r \h </w:instrText>
      </w:r>
      <w:r>
        <w:fldChar w:fldCharType="separate"/>
      </w:r>
      <w:r w:rsidR="006505A3">
        <w:t>3.1</w:t>
      </w:r>
      <w:r>
        <w:fldChar w:fldCharType="end"/>
      </w:r>
      <w:r>
        <w:t xml:space="preserve">) may resolve the issues mentioned here and hence the usage of Rach-less HO can be very limited. One scenario that favors RACH-less HO is when the UE is synchronised with a PCell and SCell in CA and MgNB and SgNB in DC scenario in NR. In these cases where SCell is changed to a PCell and/or SgNB is changed to a MgNB, RACH-less handover principle can be appliled. Details of the proposal can be found in our companion contribution </w:t>
      </w:r>
      <w:r>
        <w:fldChar w:fldCharType="begin"/>
      </w:r>
      <w:r>
        <w:instrText xml:space="preserve"> REF _Ref498072392 \r \h </w:instrText>
      </w:r>
      <w:r>
        <w:fldChar w:fldCharType="separate"/>
      </w:r>
      <w:r w:rsidR="006505A3">
        <w:t>[3]</w:t>
      </w:r>
      <w:r>
        <w:fldChar w:fldCharType="end"/>
      </w:r>
      <w:r>
        <w:t>.</w:t>
      </w:r>
    </w:p>
    <w:p w14:paraId="1A910C0C" w14:textId="77777777" w:rsidR="00F74DAC" w:rsidRDefault="00F74DAC" w:rsidP="00F74DAC">
      <w:pPr>
        <w:pStyle w:val="Proposal"/>
        <w:numPr>
          <w:ilvl w:val="0"/>
          <w:numId w:val="21"/>
        </w:numPr>
        <w:tabs>
          <w:tab w:val="clear" w:pos="1304"/>
        </w:tabs>
        <w:ind w:left="1701" w:hanging="1701"/>
        <w:textAlignment w:val="auto"/>
      </w:pPr>
      <w:bookmarkStart w:id="9" w:name="_Toc498617856"/>
      <w:bookmarkStart w:id="10" w:name="_Toc498617753"/>
      <w:bookmarkStart w:id="11" w:name="_Toc498603506"/>
      <w:bookmarkStart w:id="12" w:name="_Toc498086643"/>
      <w:bookmarkStart w:id="13" w:name="_Toc498619189"/>
      <w:bookmarkStart w:id="14" w:name="_Toc498619212"/>
      <w:r>
        <w:t>RACH-less HO can be continued to be supported in NR for certain scenarios and identified situations in CA and DC.</w:t>
      </w:r>
      <w:bookmarkEnd w:id="9"/>
      <w:bookmarkEnd w:id="10"/>
      <w:bookmarkEnd w:id="11"/>
      <w:bookmarkEnd w:id="12"/>
      <w:bookmarkEnd w:id="13"/>
      <w:bookmarkEnd w:id="14"/>
    </w:p>
    <w:p w14:paraId="4987ECFE" w14:textId="77777777" w:rsidR="00F74DAC" w:rsidRDefault="00F74DAC" w:rsidP="00F74DAC">
      <w:pPr>
        <w:pStyle w:val="Heading2"/>
        <w:numPr>
          <w:ilvl w:val="1"/>
          <w:numId w:val="19"/>
        </w:numPr>
        <w:textAlignment w:val="auto"/>
      </w:pPr>
      <w:bookmarkStart w:id="15" w:name="_Ref498085832"/>
      <w:r>
        <w:t>Make Before Break Handover</w:t>
      </w:r>
      <w:bookmarkEnd w:id="15"/>
    </w:p>
    <w:p w14:paraId="7E9BB4CB" w14:textId="77777777" w:rsidR="00F74DAC" w:rsidRDefault="00F74DAC" w:rsidP="00F74DAC">
      <w:r>
        <w:t xml:space="preserve">In LTE make-before-break (MBB) handover (HO), refers to a handover mechanism where the UE connects to the target cell before disconnecting from the source cell unlike the standard handover procedure where the UE resets MAC and reestablishes PDCP upon receiving HO command from the source. In MBB solution, MAC and PDCP reset in UE are delayed until the UE performs successful RACH at the target cell. This requires UE to monitor both target and source nodes simulateneously. RLM in the source node is suspended until the end of handover (successful or failure). The solution provides the additional benefit of returning back to the source cell if handover fails. When RACH is completed successfully, the source cell is made aware and it stops transmission to the UE. </w:t>
      </w:r>
    </w:p>
    <w:p w14:paraId="3673DEDC" w14:textId="77777777" w:rsidR="00F74DAC" w:rsidRDefault="00F74DAC" w:rsidP="00F74DAC">
      <w:r>
        <w:t>As make-before-break, is for single Tx/Rx UE, the UE will release the connection to source when the following conditions are met:</w:t>
      </w:r>
    </w:p>
    <w:p w14:paraId="1639755E" w14:textId="77777777" w:rsidR="00F74DAC" w:rsidRDefault="00F74DAC" w:rsidP="00F74DAC">
      <w:pPr>
        <w:pStyle w:val="ListParagraph"/>
        <w:numPr>
          <w:ilvl w:val="0"/>
          <w:numId w:val="22"/>
        </w:numPr>
        <w:overflowPunct/>
        <w:autoSpaceDE/>
        <w:adjustRightInd/>
        <w:spacing w:after="200" w:line="276" w:lineRule="auto"/>
        <w:jc w:val="left"/>
        <w:textAlignment w:val="auto"/>
      </w:pPr>
      <w:r>
        <w:t>Transmits the RACH preamble;</w:t>
      </w:r>
    </w:p>
    <w:p w14:paraId="355849A7" w14:textId="77777777" w:rsidR="00F74DAC" w:rsidRDefault="00F74DAC" w:rsidP="00F74DAC">
      <w:pPr>
        <w:pStyle w:val="ListParagraph"/>
        <w:numPr>
          <w:ilvl w:val="0"/>
          <w:numId w:val="22"/>
        </w:numPr>
        <w:overflowPunct/>
        <w:autoSpaceDE/>
        <w:adjustRightInd/>
        <w:spacing w:after="200" w:line="276" w:lineRule="auto"/>
        <w:jc w:val="left"/>
        <w:textAlignment w:val="auto"/>
      </w:pPr>
      <w:r>
        <w:t>Transmits the HO Complete message on the PUSCH (if RACH-less HO with UL grant received in HO Command message); or</w:t>
      </w:r>
    </w:p>
    <w:p w14:paraId="170E4F7B" w14:textId="77777777" w:rsidR="00F74DAC" w:rsidRDefault="00F74DAC" w:rsidP="00F74DAC">
      <w:pPr>
        <w:pStyle w:val="ListParagraph"/>
        <w:numPr>
          <w:ilvl w:val="0"/>
          <w:numId w:val="22"/>
        </w:numPr>
        <w:overflowPunct/>
        <w:autoSpaceDE/>
        <w:adjustRightInd/>
        <w:spacing w:after="200" w:line="276" w:lineRule="auto"/>
        <w:jc w:val="left"/>
        <w:textAlignment w:val="auto"/>
      </w:pPr>
      <w:r>
        <w:t>Monitors the PDCCH in the target cell (if RACH-less HO without UL grant in HO Command message. The UE instead receives UL grant through the PDCCH).</w:t>
      </w:r>
    </w:p>
    <w:p w14:paraId="1B0BE3EC" w14:textId="77777777" w:rsidR="00F74DAC" w:rsidRDefault="00F74DAC" w:rsidP="00F74DAC">
      <w:r>
        <w:t>Or in other words, the UE releases the connection with the source cell before the connection with the target cell is ready for packet transmission/reception.</w:t>
      </w:r>
    </w:p>
    <w:p w14:paraId="32339E17" w14:textId="77777777" w:rsidR="00F74DAC" w:rsidRDefault="00F74DAC" w:rsidP="00F74DAC">
      <w:pPr>
        <w:pStyle w:val="Observation"/>
        <w:numPr>
          <w:ilvl w:val="0"/>
          <w:numId w:val="17"/>
        </w:numPr>
        <w:ind w:left="1701" w:hanging="1701"/>
        <w:textAlignment w:val="auto"/>
      </w:pPr>
      <w:bookmarkStart w:id="16" w:name="_Toc498617854"/>
      <w:bookmarkStart w:id="17" w:name="_Toc498617751"/>
      <w:bookmarkStart w:id="18" w:name="_Toc498086663"/>
      <w:bookmarkStart w:id="19" w:name="_Toc498086636"/>
      <w:bookmarkStart w:id="20" w:name="_Toc498619187"/>
      <w:bookmarkStart w:id="21" w:name="_Toc498619210"/>
      <w:r>
        <w:t>In LTE, make-before-break handover was introduced in release 14 for UE with single Tx-Rx chain to reduce data interruption during handover.</w:t>
      </w:r>
      <w:bookmarkEnd w:id="16"/>
      <w:bookmarkEnd w:id="17"/>
      <w:bookmarkEnd w:id="18"/>
      <w:bookmarkEnd w:id="19"/>
      <w:bookmarkEnd w:id="20"/>
      <w:bookmarkEnd w:id="21"/>
    </w:p>
    <w:p w14:paraId="0144AB88" w14:textId="2932019D" w:rsidR="00F74DAC" w:rsidRDefault="00F74DAC" w:rsidP="00F74DAC">
      <w:r>
        <w:t xml:space="preserve">As MBB with single Tx-Rx cannot achieve 0 msec and since the agreement scenario in RAN2 for UE with single Tx/Rx  can be improved by using conditional handover as mentioned in section </w:t>
      </w:r>
      <w:r>
        <w:fldChar w:fldCharType="begin"/>
      </w:r>
      <w:r>
        <w:instrText xml:space="preserve"> REF _Ref498603320 \r \h </w:instrText>
      </w:r>
      <w:r>
        <w:fldChar w:fldCharType="separate"/>
      </w:r>
      <w:r w:rsidR="006505A3">
        <w:t>3.1</w:t>
      </w:r>
      <w:r>
        <w:fldChar w:fldCharType="end"/>
      </w:r>
      <w:r>
        <w:t xml:space="preserve">, MBB for single Tx/Rx needs not to be supported in NR. However, it is possible to enhance MBB to avoid such problems, as described briefly in Section </w:t>
      </w:r>
      <w:r>
        <w:fldChar w:fldCharType="begin"/>
      </w:r>
      <w:r>
        <w:instrText xml:space="preserve"> REF _Ref498619031 \r \h </w:instrText>
      </w:r>
      <w:r>
        <w:fldChar w:fldCharType="separate"/>
      </w:r>
      <w:r w:rsidR="006505A3">
        <w:t>3.2</w:t>
      </w:r>
      <w:r>
        <w:fldChar w:fldCharType="end"/>
      </w:r>
      <w:r>
        <w:t xml:space="preserve"> and in our companion contribution </w:t>
      </w:r>
      <w:r>
        <w:fldChar w:fldCharType="begin"/>
      </w:r>
      <w:r>
        <w:instrText xml:space="preserve"> REF _Ref498086243 \r \h </w:instrText>
      </w:r>
      <w:r>
        <w:fldChar w:fldCharType="separate"/>
      </w:r>
      <w:r w:rsidR="006505A3">
        <w:t>[6]</w:t>
      </w:r>
      <w:r>
        <w:fldChar w:fldCharType="end"/>
      </w:r>
      <w:r>
        <w:t xml:space="preserve"> in more details.</w:t>
      </w:r>
    </w:p>
    <w:p w14:paraId="42752559" w14:textId="77777777" w:rsidR="00F74DAC" w:rsidRDefault="00F74DAC" w:rsidP="00F74DAC">
      <w:pPr>
        <w:pStyle w:val="Proposal"/>
        <w:numPr>
          <w:ilvl w:val="0"/>
          <w:numId w:val="21"/>
        </w:numPr>
        <w:tabs>
          <w:tab w:val="clear" w:pos="1304"/>
        </w:tabs>
        <w:ind w:left="1701" w:hanging="1701"/>
        <w:textAlignment w:val="auto"/>
      </w:pPr>
      <w:bookmarkStart w:id="22" w:name="_Toc498617857"/>
      <w:bookmarkStart w:id="23" w:name="_Toc498617754"/>
      <w:bookmarkStart w:id="24" w:name="_Toc498603507"/>
      <w:bookmarkStart w:id="25" w:name="_Toc498086644"/>
      <w:bookmarkStart w:id="26" w:name="_Toc498619190"/>
      <w:bookmarkStart w:id="27" w:name="_Toc498619213"/>
      <w:r>
        <w:t>Make-before-break handover described in LTE needs not to be supported in NR for UE with single Tx/Rx.</w:t>
      </w:r>
      <w:bookmarkEnd w:id="22"/>
      <w:bookmarkEnd w:id="23"/>
      <w:bookmarkEnd w:id="24"/>
      <w:bookmarkEnd w:id="25"/>
      <w:bookmarkEnd w:id="26"/>
      <w:bookmarkEnd w:id="27"/>
    </w:p>
    <w:p w14:paraId="23268FDE" w14:textId="77777777" w:rsidR="00F74DAC" w:rsidRDefault="00F74DAC" w:rsidP="00F74DAC">
      <w:pPr>
        <w:pStyle w:val="Heading1"/>
        <w:numPr>
          <w:ilvl w:val="0"/>
          <w:numId w:val="19"/>
        </w:numPr>
        <w:textAlignment w:val="auto"/>
      </w:pPr>
      <w:bookmarkStart w:id="28" w:name="_Ref498086581"/>
      <w:r>
        <w:t>Proposed Handover Enhancements in NR</w:t>
      </w:r>
      <w:bookmarkEnd w:id="28"/>
    </w:p>
    <w:p w14:paraId="1969EFFF" w14:textId="5B2CFF84" w:rsidR="00F74DAC" w:rsidRDefault="00F74DAC" w:rsidP="00F74DAC">
      <w:r>
        <w:t xml:space="preserve">Operating frequency in NR would be higher than LTE and narrow beamforming will be used in the gNBs. Along with additional benefits, this introduces new complicated challenges also. Furthermore, requirements for 0ms handover interruption time for NR UE with dual Tx/Rx chain requires new enhancements. Hence, in addition to the handover enhancements discussed in section </w:t>
      </w:r>
      <w:r>
        <w:fldChar w:fldCharType="begin"/>
      </w:r>
      <w:r>
        <w:instrText xml:space="preserve"> REF _Ref498083370 \r \h </w:instrText>
      </w:r>
      <w:r>
        <w:fldChar w:fldCharType="separate"/>
      </w:r>
      <w:r w:rsidR="006505A3">
        <w:t>2</w:t>
      </w:r>
      <w:r>
        <w:fldChar w:fldCharType="end"/>
      </w:r>
      <w:r>
        <w:t>, we propose the below enhancements for NR.</w:t>
      </w:r>
    </w:p>
    <w:p w14:paraId="1028D3E5" w14:textId="77777777" w:rsidR="00F74DAC" w:rsidRDefault="00F74DAC" w:rsidP="00F74DAC">
      <w:pPr>
        <w:pStyle w:val="Heading2"/>
        <w:numPr>
          <w:ilvl w:val="1"/>
          <w:numId w:val="19"/>
        </w:numPr>
        <w:textAlignment w:val="auto"/>
      </w:pPr>
      <w:bookmarkStart w:id="29" w:name="_Ref498603320"/>
      <w:r>
        <w:t>Conditional Handover</w:t>
      </w:r>
      <w:bookmarkEnd w:id="29"/>
    </w:p>
    <w:p w14:paraId="0955ABE5" w14:textId="77777777" w:rsidR="00F74DAC" w:rsidRDefault="00F74DAC" w:rsidP="00F74DAC">
      <w:r>
        <w:t xml:space="preserve">In earlier mobility studies for LTE, RAN2 observed that the serving cell may not be able to convey the handover command timely. Lowering the time-to-trigger (TTT) and the measurement hysteresis allowed to reduce the handover failure rate but also resulted in higher ping-pong probability. We expect that in NR these effects will </w:t>
      </w:r>
      <w:r>
        <w:lastRenderedPageBreak/>
        <w:t>be even more pronounced when operating at higher frequency bands. To avoid the undesired dependence on the serving radio link upon the time (and radio conditions) where the UE should execute the handover, NR should offer the possibility to provide the required RRC signalling (i.e., the handover command) to the UE earlier. To achieve this, it should be possible to associate the HO command with a condition. As soon as the condition is fulfilled, the UE may execute the handover in accordance with the provided handover command. The network has the option to change/cancel the target cell configurations, modify the conditions, cancel the configuration and thus have full controllability on the UE. Introducing conditional handover would reduce RLF, HOF and thus increase the handover reliability.</w:t>
      </w:r>
    </w:p>
    <w:p w14:paraId="36B03068" w14:textId="77777777" w:rsidR="00F74DAC" w:rsidRDefault="00F74DAC" w:rsidP="00F74DAC">
      <w:pPr>
        <w:pStyle w:val="Observation"/>
        <w:numPr>
          <w:ilvl w:val="0"/>
          <w:numId w:val="17"/>
        </w:numPr>
        <w:ind w:left="1701" w:hanging="1701"/>
        <w:textAlignment w:val="auto"/>
      </w:pPr>
      <w:bookmarkStart w:id="30" w:name="_Toc498617855"/>
      <w:bookmarkStart w:id="31" w:name="_Toc498617752"/>
      <w:bookmarkStart w:id="32" w:name="_Toc498086664"/>
      <w:bookmarkStart w:id="33" w:name="_Toc498086637"/>
      <w:bookmarkStart w:id="34" w:name="_Toc498619188"/>
      <w:bookmarkStart w:id="35" w:name="_Toc498619211"/>
      <w:r>
        <w:t>Conditional handover can increase handover reliability.</w:t>
      </w:r>
      <w:bookmarkEnd w:id="30"/>
      <w:bookmarkEnd w:id="31"/>
      <w:bookmarkEnd w:id="32"/>
      <w:bookmarkEnd w:id="33"/>
      <w:bookmarkEnd w:id="34"/>
      <w:bookmarkEnd w:id="35"/>
    </w:p>
    <w:p w14:paraId="203DD2CF" w14:textId="0A24389F" w:rsidR="00F74DAC" w:rsidRDefault="00F74DAC" w:rsidP="00F74DAC">
      <w:r>
        <w:t xml:space="preserve">Details discussion on conditional handover, i.e. signals and basic operation principle can found in </w:t>
      </w:r>
      <w:r>
        <w:fldChar w:fldCharType="begin"/>
      </w:r>
      <w:r>
        <w:instrText xml:space="preserve"> REF _Ref498085012 \r \h  \* MERGEFORMAT </w:instrText>
      </w:r>
      <w:r>
        <w:fldChar w:fldCharType="separate"/>
      </w:r>
      <w:r w:rsidR="006505A3">
        <w:t>[4]</w:t>
      </w:r>
      <w:r>
        <w:fldChar w:fldCharType="end"/>
      </w:r>
      <w:r>
        <w:t xml:space="preserve">. Also, simulation results showing the performance improvement by implementing conditional handover can be found in </w:t>
      </w:r>
      <w:r>
        <w:fldChar w:fldCharType="begin"/>
      </w:r>
      <w:r>
        <w:instrText xml:space="preserve"> REF _Ref498085222 \r \h </w:instrText>
      </w:r>
      <w:r>
        <w:fldChar w:fldCharType="separate"/>
      </w:r>
      <w:r w:rsidR="006505A3">
        <w:t>[5]</w:t>
      </w:r>
      <w:r>
        <w:fldChar w:fldCharType="end"/>
      </w:r>
      <w:r>
        <w:t>.</w:t>
      </w:r>
    </w:p>
    <w:p w14:paraId="7ECD1E8B" w14:textId="6EC425D6" w:rsidR="00F74DAC" w:rsidRDefault="00F74DAC" w:rsidP="00F74DAC">
      <w:r>
        <w:t xml:space="preserve">Based on the observations discussed in </w:t>
      </w:r>
      <w:r>
        <w:fldChar w:fldCharType="begin"/>
      </w:r>
      <w:r>
        <w:instrText xml:space="preserve"> REF _Ref498085012 \r \h </w:instrText>
      </w:r>
      <w:r>
        <w:fldChar w:fldCharType="separate"/>
      </w:r>
      <w:r w:rsidR="006505A3">
        <w:t>[4]</w:t>
      </w:r>
      <w:r>
        <w:fldChar w:fldCharType="end"/>
      </w:r>
      <w:r>
        <w:fldChar w:fldCharType="begin"/>
      </w:r>
      <w:r>
        <w:instrText xml:space="preserve"> REF _Ref498085222 \r \h </w:instrText>
      </w:r>
      <w:r>
        <w:fldChar w:fldCharType="separate"/>
      </w:r>
      <w:r w:rsidR="006505A3">
        <w:t>[5]</w:t>
      </w:r>
      <w:r>
        <w:fldChar w:fldCharType="end"/>
      </w:r>
      <w:r>
        <w:t>, we propose conditional handover can be deployed in NR.</w:t>
      </w:r>
    </w:p>
    <w:p w14:paraId="1E19C86A" w14:textId="77777777" w:rsidR="00F74DAC" w:rsidRDefault="00F74DAC" w:rsidP="00F74DAC">
      <w:pPr>
        <w:pStyle w:val="Proposal"/>
        <w:numPr>
          <w:ilvl w:val="0"/>
          <w:numId w:val="21"/>
        </w:numPr>
        <w:tabs>
          <w:tab w:val="clear" w:pos="1304"/>
        </w:tabs>
        <w:ind w:left="1701" w:hanging="1701"/>
        <w:textAlignment w:val="auto"/>
      </w:pPr>
      <w:bookmarkStart w:id="36" w:name="_Toc498617858"/>
      <w:bookmarkStart w:id="37" w:name="_Toc498617755"/>
      <w:bookmarkStart w:id="38" w:name="_Toc498603508"/>
      <w:bookmarkStart w:id="39" w:name="_Toc498086645"/>
      <w:bookmarkStart w:id="40" w:name="_Toc498619191"/>
      <w:bookmarkStart w:id="41" w:name="_Toc498619214"/>
      <w:r>
        <w:t>To increase handover reliability, i.e. reduce HOF and RLF, conditional handover should be supported in NR Rel-15.</w:t>
      </w:r>
      <w:bookmarkEnd w:id="36"/>
      <w:bookmarkEnd w:id="37"/>
      <w:bookmarkEnd w:id="38"/>
      <w:bookmarkEnd w:id="39"/>
      <w:bookmarkEnd w:id="40"/>
      <w:bookmarkEnd w:id="41"/>
    </w:p>
    <w:p w14:paraId="5E2A3F2E" w14:textId="77777777" w:rsidR="00F74DAC" w:rsidRDefault="00F74DAC" w:rsidP="00F74DAC">
      <w:pPr>
        <w:pStyle w:val="Heading2"/>
        <w:numPr>
          <w:ilvl w:val="1"/>
          <w:numId w:val="19"/>
        </w:numPr>
        <w:textAlignment w:val="auto"/>
      </w:pPr>
      <w:bookmarkStart w:id="42" w:name="_Ref498619031"/>
      <w:r>
        <w:t>Enhanced Make-before-break Handover</w:t>
      </w:r>
      <w:bookmarkEnd w:id="42"/>
    </w:p>
    <w:p w14:paraId="15C6BC27" w14:textId="59E1289E" w:rsidR="00F74DAC" w:rsidRDefault="00F74DAC" w:rsidP="00F74DAC">
      <w:r>
        <w:t xml:space="preserve">As mentioned in section </w:t>
      </w:r>
      <w:r>
        <w:fldChar w:fldCharType="begin"/>
      </w:r>
      <w:r>
        <w:instrText xml:space="preserve"> REF _Ref498085473 \r \h </w:instrText>
      </w:r>
      <w:r>
        <w:fldChar w:fldCharType="separate"/>
      </w:r>
      <w:r w:rsidR="006505A3">
        <w:t>1</w:t>
      </w:r>
      <w:r>
        <w:fldChar w:fldCharType="end"/>
      </w:r>
      <w:r>
        <w:t xml:space="preserve">, for UE with dual Tx/Rx chain, NR needs to support 0 ms handover. One simple solution can be to re-use LTE MBB solution with some enhancements for inter-frequency handover, denoted by enhanced MBB handover here after. In contrast to the problem faced by UE with single Tx/Rx chain mentioned in section </w:t>
      </w:r>
      <w:r>
        <w:fldChar w:fldCharType="begin"/>
      </w:r>
      <w:r>
        <w:instrText xml:space="preserve"> REF _Ref498085832 \r \h </w:instrText>
      </w:r>
      <w:r>
        <w:fldChar w:fldCharType="separate"/>
      </w:r>
      <w:r w:rsidR="006505A3">
        <w:t>2.2</w:t>
      </w:r>
      <w:r>
        <w:fldChar w:fldCharType="end"/>
      </w:r>
      <w:r>
        <w:t xml:space="preserve">, UE with dual Tx-Rx chain can keep the connection with the source cell until it is able to receive packets from the target cell. In principle, this refers that the source cell, after sending handover command to the UE, forwards data packet to the latter in parallel to forwarding packet to the target cell. Thus, the target cell will be able to send data immediately to the UE when it connects to it. Detailed description of the solution along with proposed signal flow can found in </w:t>
      </w:r>
      <w:r>
        <w:fldChar w:fldCharType="begin"/>
      </w:r>
      <w:r>
        <w:instrText xml:space="preserve"> REF _Ref498086243 \r \h </w:instrText>
      </w:r>
      <w:r>
        <w:fldChar w:fldCharType="separate"/>
      </w:r>
      <w:r w:rsidR="006505A3">
        <w:t>[6]</w:t>
      </w:r>
      <w:r>
        <w:fldChar w:fldCharType="end"/>
      </w:r>
      <w:r>
        <w:t xml:space="preserve">. From the discussion in </w:t>
      </w:r>
      <w:r>
        <w:fldChar w:fldCharType="begin"/>
      </w:r>
      <w:r>
        <w:instrText xml:space="preserve"> REF _Ref498086243 \r \h </w:instrText>
      </w:r>
      <w:r>
        <w:fldChar w:fldCharType="separate"/>
      </w:r>
      <w:r w:rsidR="006505A3">
        <w:t>[6]</w:t>
      </w:r>
      <w:r>
        <w:fldChar w:fldCharType="end"/>
      </w:r>
      <w:r>
        <w:t xml:space="preserve"> we propose to use enhanced MBB solution to support 0 ms handover interruption in NR.</w:t>
      </w:r>
    </w:p>
    <w:p w14:paraId="042CE1FD" w14:textId="77777777" w:rsidR="00F74DAC" w:rsidRDefault="00F74DAC" w:rsidP="00F74DAC">
      <w:pPr>
        <w:pStyle w:val="Proposal"/>
        <w:numPr>
          <w:ilvl w:val="0"/>
          <w:numId w:val="21"/>
        </w:numPr>
        <w:tabs>
          <w:tab w:val="clear" w:pos="1304"/>
        </w:tabs>
        <w:ind w:left="1701" w:hanging="1701"/>
        <w:textAlignment w:val="auto"/>
      </w:pPr>
      <w:bookmarkStart w:id="43" w:name="_Toc498617756"/>
      <w:bookmarkStart w:id="44" w:name="_Toc498603509"/>
      <w:bookmarkStart w:id="45" w:name="_Toc498086646"/>
      <w:bookmarkStart w:id="46" w:name="_Toc498617859"/>
      <w:bookmarkStart w:id="47" w:name="_Toc498619192"/>
      <w:bookmarkStart w:id="48" w:name="_Toc498619215"/>
      <w:r>
        <w:t>NR should implement enhanced MBB solution to support 0ms handover</w:t>
      </w:r>
      <w:bookmarkEnd w:id="43"/>
      <w:bookmarkEnd w:id="44"/>
      <w:bookmarkEnd w:id="45"/>
      <w:r>
        <w:t>.</w:t>
      </w:r>
      <w:bookmarkEnd w:id="46"/>
      <w:bookmarkEnd w:id="47"/>
      <w:bookmarkEnd w:id="48"/>
    </w:p>
    <w:p w14:paraId="48E654C4" w14:textId="77777777" w:rsidR="00F74DAC" w:rsidRDefault="00F74DAC" w:rsidP="00F74DAC">
      <w:pPr>
        <w:pStyle w:val="Heading1"/>
        <w:numPr>
          <w:ilvl w:val="0"/>
          <w:numId w:val="19"/>
        </w:numPr>
        <w:textAlignment w:val="auto"/>
      </w:pPr>
      <w:r>
        <w:t>Conclusion</w:t>
      </w:r>
    </w:p>
    <w:p w14:paraId="0D347DF6" w14:textId="77777777" w:rsidR="006505A3" w:rsidRDefault="00F74DAC" w:rsidP="00F74DAC">
      <w:pPr>
        <w:pStyle w:val="BodyText"/>
        <w:rPr>
          <w:noProof/>
        </w:rPr>
      </w:pPr>
      <w:r>
        <w:t xml:space="preserve">In section </w:t>
      </w:r>
      <w:r>
        <w:rPr>
          <w:highlight w:val="cyan"/>
        </w:rPr>
        <w:fldChar w:fldCharType="begin"/>
      </w:r>
      <w:r>
        <w:instrText xml:space="preserve"> REF _Ref498083370 \r \h </w:instrText>
      </w:r>
      <w:r>
        <w:rPr>
          <w:highlight w:val="cyan"/>
        </w:rPr>
      </w:r>
      <w:r>
        <w:rPr>
          <w:highlight w:val="cyan"/>
        </w:rPr>
        <w:fldChar w:fldCharType="separate"/>
      </w:r>
      <w:r w:rsidR="006505A3">
        <w:t>2</w:t>
      </w:r>
      <w:r>
        <w:rPr>
          <w:highlight w:val="cyan"/>
        </w:rPr>
        <w:fldChar w:fldCharType="end"/>
      </w:r>
      <w:r>
        <w:t xml:space="preserve"> and </w:t>
      </w:r>
      <w:r>
        <w:rPr>
          <w:highlight w:val="cyan"/>
        </w:rPr>
        <w:fldChar w:fldCharType="begin"/>
      </w:r>
      <w:r>
        <w:instrText xml:space="preserve"> REF _Ref498086581 \r \h </w:instrText>
      </w:r>
      <w:r>
        <w:rPr>
          <w:highlight w:val="cyan"/>
        </w:rPr>
      </w:r>
      <w:r>
        <w:rPr>
          <w:highlight w:val="cyan"/>
        </w:rPr>
        <w:fldChar w:fldCharType="separate"/>
      </w:r>
      <w:r w:rsidR="006505A3">
        <w:t>3</w:t>
      </w:r>
      <w:r>
        <w:rPr>
          <w:highlight w:val="cyan"/>
        </w:rPr>
        <w:fldChar w:fldCharType="end"/>
      </w:r>
      <w:r>
        <w:t>, we made the following observations:</w:t>
      </w:r>
      <w:r>
        <w:rPr>
          <w:b/>
          <w:bCs/>
        </w:rPr>
        <w:fldChar w:fldCharType="begin"/>
      </w:r>
      <w:r>
        <w:rPr>
          <w:b/>
          <w:bCs/>
        </w:rPr>
        <w:instrText xml:space="preserve"> TOC \f \n \t "Observation;1" </w:instrText>
      </w:r>
      <w:r>
        <w:rPr>
          <w:b/>
          <w:bCs/>
        </w:rPr>
        <w:fldChar w:fldCharType="separate"/>
      </w:r>
    </w:p>
    <w:p w14:paraId="31D0EC6F" w14:textId="77777777" w:rsidR="006505A3" w:rsidRDefault="006505A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RACH-less handover scenarios identified for LTE are still relevant in NR.</w:t>
      </w:r>
    </w:p>
    <w:p w14:paraId="370B1C4A" w14:textId="77777777" w:rsidR="006505A3" w:rsidRDefault="006505A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LTE, make-before-break handover was introduced in release 14 for UE with single Tx-Rx chain to reduce data interruption during handover.</w:t>
      </w:r>
    </w:p>
    <w:p w14:paraId="4049250A" w14:textId="77777777" w:rsidR="006505A3" w:rsidRDefault="006505A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Conditional handover can increase handover reliability.</w:t>
      </w:r>
    </w:p>
    <w:p w14:paraId="6152BCAC" w14:textId="77777777" w:rsidR="00F74DAC" w:rsidRDefault="00F74DAC" w:rsidP="00F74DAC">
      <w:pPr>
        <w:pStyle w:val="BodyText"/>
        <w:rPr>
          <w:b/>
          <w:bCs/>
        </w:rPr>
      </w:pPr>
      <w:r>
        <w:rPr>
          <w:b/>
          <w:bCs/>
        </w:rPr>
        <w:fldChar w:fldCharType="end"/>
      </w:r>
    </w:p>
    <w:p w14:paraId="3E1D0054" w14:textId="77777777" w:rsidR="00F74DAC" w:rsidRDefault="00F74DAC" w:rsidP="00F74DAC">
      <w:pPr>
        <w:pStyle w:val="TOC1"/>
      </w:pPr>
      <w:r>
        <w:t>Based on the discussions we propose the following:</w:t>
      </w:r>
    </w:p>
    <w:p w14:paraId="42D61285" w14:textId="77777777" w:rsidR="006505A3" w:rsidRDefault="00F74DA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6505A3">
        <w:t>Proposal 1</w:t>
      </w:r>
      <w:r w:rsidR="006505A3">
        <w:rPr>
          <w:rFonts w:asciiTheme="minorHAnsi" w:eastAsiaTheme="minorEastAsia" w:hAnsiTheme="minorHAnsi" w:cstheme="minorBidi"/>
          <w:b w:val="0"/>
          <w:sz w:val="22"/>
          <w:lang w:eastAsia="en-US"/>
        </w:rPr>
        <w:tab/>
      </w:r>
      <w:r w:rsidR="006505A3">
        <w:t>RACH-less HO can be continued to be supported in NR for certain scenarios and identified situations in CA and DC.</w:t>
      </w:r>
    </w:p>
    <w:p w14:paraId="29915F0B" w14:textId="77777777" w:rsidR="006505A3" w:rsidRDefault="006505A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Make-before-break handover described in LTE needs not to be supported in NR for UE with single Tx/Rx.</w:t>
      </w:r>
    </w:p>
    <w:p w14:paraId="48F803F5" w14:textId="77777777" w:rsidR="006505A3" w:rsidRDefault="006505A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increase handover reliability, i.e. reduce HOF and RLF, conditional handover should be supported in NR Rel-15.</w:t>
      </w:r>
    </w:p>
    <w:p w14:paraId="6DBCBB79" w14:textId="77777777" w:rsidR="006505A3" w:rsidRDefault="006505A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 should implement enhanced MBB solution to support 0ms handover.</w:t>
      </w:r>
    </w:p>
    <w:p w14:paraId="51C179DD" w14:textId="7A4EF9E7" w:rsidR="00F74DAC" w:rsidRDefault="00F74DAC" w:rsidP="00F74DAC">
      <w:pPr>
        <w:rPr>
          <w:b/>
          <w:bCs/>
        </w:rPr>
      </w:pPr>
      <w:r>
        <w:rPr>
          <w:b/>
          <w:bCs/>
        </w:rPr>
        <w:fldChar w:fldCharType="end"/>
      </w:r>
    </w:p>
    <w:p w14:paraId="066CF598" w14:textId="77777777" w:rsidR="00F74DAC" w:rsidRDefault="00F74DAC" w:rsidP="00F74DAC">
      <w:pPr>
        <w:rPr>
          <w:b/>
          <w:bCs/>
        </w:rPr>
      </w:pPr>
    </w:p>
    <w:p w14:paraId="1D1687AF" w14:textId="77777777" w:rsidR="00F74DAC" w:rsidRDefault="00F74DAC" w:rsidP="00F74DAC">
      <w:pPr>
        <w:rPr>
          <w:b/>
          <w:bCs/>
        </w:rPr>
      </w:pPr>
    </w:p>
    <w:p w14:paraId="046018A6" w14:textId="77777777" w:rsidR="00F74DAC" w:rsidRDefault="00F74DAC" w:rsidP="00F74DAC"/>
    <w:p w14:paraId="759E4423" w14:textId="77777777" w:rsidR="00F74DAC" w:rsidRDefault="00F74DAC" w:rsidP="00F74DAC"/>
    <w:p w14:paraId="53A8D685" w14:textId="77777777" w:rsidR="00F74DAC" w:rsidRDefault="00F74DAC" w:rsidP="00F74DAC">
      <w:pPr>
        <w:pStyle w:val="Heading1"/>
        <w:numPr>
          <w:ilvl w:val="0"/>
          <w:numId w:val="19"/>
        </w:numPr>
        <w:textAlignment w:val="auto"/>
      </w:pPr>
      <w:bookmarkStart w:id="49" w:name="_In-sequence_SDU_delivery"/>
      <w:bookmarkEnd w:id="49"/>
      <w:r>
        <w:t>References</w:t>
      </w:r>
    </w:p>
    <w:p w14:paraId="0F3A8410" w14:textId="77777777" w:rsidR="00F74DAC" w:rsidRDefault="00F74DAC" w:rsidP="00F74DAC">
      <w:pPr>
        <w:pStyle w:val="Reference"/>
        <w:numPr>
          <w:ilvl w:val="0"/>
          <w:numId w:val="20"/>
        </w:numPr>
        <w:textAlignment w:val="auto"/>
      </w:pPr>
      <w:bookmarkStart w:id="50" w:name="_Ref498067158"/>
      <w:bookmarkStart w:id="51" w:name="_Ref189809556"/>
      <w:bookmarkStart w:id="52" w:name="_Ref174151459"/>
      <w:r>
        <w:t xml:space="preserve">3GPP TS 36.300, </w:t>
      </w:r>
      <w:r>
        <w:rPr>
          <w:rFonts w:cs="Arial"/>
          <w:color w:val="000000"/>
        </w:rPr>
        <w:t>Evolved Universal Terrestrial Radio Access (E-UTRA) and Evolved Universal Terrestrial Radio Access Network (E-UTRAN); Overall description; Stage 2, V14.3.0, 2017-06</w:t>
      </w:r>
      <w:bookmarkEnd w:id="50"/>
    </w:p>
    <w:p w14:paraId="52E901D3" w14:textId="77777777" w:rsidR="00F74DAC" w:rsidRDefault="00F74DAC" w:rsidP="00F74DAC">
      <w:pPr>
        <w:pStyle w:val="Reference"/>
        <w:numPr>
          <w:ilvl w:val="0"/>
          <w:numId w:val="20"/>
        </w:numPr>
        <w:textAlignment w:val="auto"/>
      </w:pPr>
      <w:bookmarkStart w:id="53" w:name="_Ref498073074"/>
      <w:r>
        <w:t>3GPP TR 36.881,</w:t>
      </w:r>
      <w:r>
        <w:rPr>
          <w:rFonts w:cs="Arial"/>
          <w:shd w:val="clear" w:color="auto" w:fill="FFFFFF"/>
        </w:rPr>
        <w:t xml:space="preserve"> Study on latency reduction techniques for LTE</w:t>
      </w:r>
      <w:r>
        <w:t>,V14.0.0, 2016-06</w:t>
      </w:r>
      <w:bookmarkEnd w:id="53"/>
    </w:p>
    <w:p w14:paraId="4FF7D557" w14:textId="77777777" w:rsidR="00F74DAC" w:rsidRDefault="00F74DAC" w:rsidP="00F74DAC">
      <w:pPr>
        <w:pStyle w:val="Reference"/>
        <w:numPr>
          <w:ilvl w:val="0"/>
          <w:numId w:val="20"/>
        </w:numPr>
        <w:textAlignment w:val="auto"/>
      </w:pPr>
      <w:bookmarkStart w:id="54" w:name="_Ref498072392"/>
      <w:r>
        <w:t>R2-171713403, RACH-less HO in NR when UE is in CA or DC, Ericsson, RAN2-100, Reno, USA, 27</w:t>
      </w:r>
      <w:r>
        <w:rPr>
          <w:vertAlign w:val="superscript"/>
        </w:rPr>
        <w:t>th</w:t>
      </w:r>
      <w:r>
        <w:t xml:space="preserve"> Nov -1</w:t>
      </w:r>
      <w:r>
        <w:rPr>
          <w:vertAlign w:val="superscript"/>
        </w:rPr>
        <w:t>st</w:t>
      </w:r>
      <w:r>
        <w:t xml:space="preserve"> Dec 2017</w:t>
      </w:r>
      <w:bookmarkEnd w:id="54"/>
    </w:p>
    <w:p w14:paraId="71C054B4" w14:textId="4AF216B6" w:rsidR="00F74DAC" w:rsidRDefault="007A60A3" w:rsidP="007A60A3">
      <w:pPr>
        <w:pStyle w:val="Reference"/>
        <w:numPr>
          <w:ilvl w:val="0"/>
          <w:numId w:val="20"/>
        </w:numPr>
        <w:textAlignment w:val="auto"/>
      </w:pPr>
      <w:bookmarkStart w:id="55" w:name="_Ref498085012"/>
      <w:r w:rsidRPr="007A60A3">
        <w:t>R2-1713606</w:t>
      </w:r>
      <w:r w:rsidR="00F74DAC">
        <w:t>, Conditional Handover, Ericsson, RAN2-100, Reno, USA, 27</w:t>
      </w:r>
      <w:r w:rsidR="00F74DAC" w:rsidRPr="007A60A3">
        <w:rPr>
          <w:vertAlign w:val="superscript"/>
        </w:rPr>
        <w:t>th</w:t>
      </w:r>
      <w:r w:rsidR="00F74DAC">
        <w:t xml:space="preserve"> Nov -1</w:t>
      </w:r>
      <w:r w:rsidR="00F74DAC" w:rsidRPr="007A60A3">
        <w:rPr>
          <w:vertAlign w:val="superscript"/>
        </w:rPr>
        <w:t>st</w:t>
      </w:r>
      <w:r w:rsidR="00F74DAC">
        <w:t xml:space="preserve"> Dec 2017</w:t>
      </w:r>
      <w:bookmarkEnd w:id="55"/>
    </w:p>
    <w:p w14:paraId="7A7E5F05" w14:textId="17B935D9" w:rsidR="00F74DAC" w:rsidRDefault="007A60A3" w:rsidP="007A60A3">
      <w:pPr>
        <w:pStyle w:val="Reference"/>
        <w:numPr>
          <w:ilvl w:val="0"/>
          <w:numId w:val="20"/>
        </w:numPr>
        <w:textAlignment w:val="auto"/>
      </w:pPr>
      <w:bookmarkStart w:id="56" w:name="_Ref498085222"/>
      <w:r>
        <w:t>R2-1713607</w:t>
      </w:r>
      <w:r w:rsidR="00F74DAC">
        <w:t>, Conditional Handover, simulation results, Ericsson, RAN2-100, Reno, USA, 27</w:t>
      </w:r>
      <w:r w:rsidR="00F74DAC" w:rsidRPr="007A60A3">
        <w:rPr>
          <w:vertAlign w:val="superscript"/>
        </w:rPr>
        <w:t>th</w:t>
      </w:r>
      <w:r w:rsidR="00F74DAC">
        <w:t xml:space="preserve"> Nov -1</w:t>
      </w:r>
      <w:r w:rsidR="00F74DAC" w:rsidRPr="007A60A3">
        <w:rPr>
          <w:vertAlign w:val="superscript"/>
        </w:rPr>
        <w:t>st</w:t>
      </w:r>
      <w:r w:rsidR="00F74DAC">
        <w:t xml:space="preserve"> Dec 2017</w:t>
      </w:r>
      <w:bookmarkEnd w:id="56"/>
    </w:p>
    <w:p w14:paraId="459B4050" w14:textId="329D975D" w:rsidR="003A7EF3" w:rsidRPr="00F74DAC" w:rsidRDefault="00F74DAC" w:rsidP="00F74DAC">
      <w:pPr>
        <w:pStyle w:val="Reference"/>
        <w:numPr>
          <w:ilvl w:val="0"/>
          <w:numId w:val="20"/>
        </w:numPr>
        <w:textAlignment w:val="auto"/>
      </w:pPr>
      <w:bookmarkStart w:id="57" w:name="_Ref498086243"/>
      <w:r>
        <w:t>R2-1713402, 0 ms interruption support during handover procedure in NR, Ericsson, RAN2-100, Reno, USA, 27</w:t>
      </w:r>
      <w:r>
        <w:rPr>
          <w:vertAlign w:val="superscript"/>
        </w:rPr>
        <w:t>th</w:t>
      </w:r>
      <w:r>
        <w:t xml:space="preserve"> Nov -1</w:t>
      </w:r>
      <w:r>
        <w:rPr>
          <w:vertAlign w:val="superscript"/>
        </w:rPr>
        <w:t>st</w:t>
      </w:r>
      <w:r>
        <w:t xml:space="preserve"> Dec 2017</w:t>
      </w:r>
      <w:bookmarkEnd w:id="51"/>
      <w:bookmarkEnd w:id="52"/>
      <w:bookmarkEnd w:id="57"/>
    </w:p>
    <w:sectPr w:rsidR="003A7EF3" w:rsidRPr="00F74DA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2EBC8" w14:textId="77777777" w:rsidR="00C03E2E" w:rsidRDefault="00C03E2E">
      <w:r>
        <w:separator/>
      </w:r>
    </w:p>
  </w:endnote>
  <w:endnote w:type="continuationSeparator" w:id="0">
    <w:p w14:paraId="500F15BD" w14:textId="77777777" w:rsidR="00C03E2E" w:rsidRDefault="00C0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7258C" w14:textId="77777777" w:rsidR="00C03E2E" w:rsidRDefault="00C03E2E">
      <w:r>
        <w:separator/>
      </w:r>
    </w:p>
  </w:footnote>
  <w:footnote w:type="continuationSeparator" w:id="0">
    <w:p w14:paraId="49BD3849" w14:textId="77777777" w:rsidR="00C03E2E" w:rsidRDefault="00C03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914F64"/>
    <w:multiLevelType w:val="hybridMultilevel"/>
    <w:tmpl w:val="DA8E3D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DFE"/>
    <w:rsid w:val="000006E1"/>
    <w:rsid w:val="00002A37"/>
    <w:rsid w:val="000039F4"/>
    <w:rsid w:val="00006446"/>
    <w:rsid w:val="00006896"/>
    <w:rsid w:val="00007CDC"/>
    <w:rsid w:val="000101A7"/>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56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0C9A"/>
    <w:rsid w:val="0018143F"/>
    <w:rsid w:val="00190AC1"/>
    <w:rsid w:val="0019341A"/>
    <w:rsid w:val="00197DF9"/>
    <w:rsid w:val="001A17BC"/>
    <w:rsid w:val="001A1987"/>
    <w:rsid w:val="001A2564"/>
    <w:rsid w:val="001A6173"/>
    <w:rsid w:val="001A6CBA"/>
    <w:rsid w:val="001B0D97"/>
    <w:rsid w:val="001B5A5D"/>
    <w:rsid w:val="001B60C6"/>
    <w:rsid w:val="001C1CE5"/>
    <w:rsid w:val="001C3D2A"/>
    <w:rsid w:val="001D51BA"/>
    <w:rsid w:val="001D6342"/>
    <w:rsid w:val="001D6D53"/>
    <w:rsid w:val="001E58E2"/>
    <w:rsid w:val="001E7AED"/>
    <w:rsid w:val="001F0745"/>
    <w:rsid w:val="001F3916"/>
    <w:rsid w:val="001F54C5"/>
    <w:rsid w:val="001F662C"/>
    <w:rsid w:val="001F7074"/>
    <w:rsid w:val="002003C2"/>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1E3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76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0C1"/>
    <w:rsid w:val="00301CE6"/>
    <w:rsid w:val="0030256B"/>
    <w:rsid w:val="00303556"/>
    <w:rsid w:val="0030501F"/>
    <w:rsid w:val="00307220"/>
    <w:rsid w:val="00307BA1"/>
    <w:rsid w:val="00311702"/>
    <w:rsid w:val="00311E82"/>
    <w:rsid w:val="00313FD6"/>
    <w:rsid w:val="003143BD"/>
    <w:rsid w:val="0031778F"/>
    <w:rsid w:val="003203ED"/>
    <w:rsid w:val="00322C9F"/>
    <w:rsid w:val="00324D23"/>
    <w:rsid w:val="00331751"/>
    <w:rsid w:val="00334579"/>
    <w:rsid w:val="003347CE"/>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1CD9"/>
    <w:rsid w:val="003939FF"/>
    <w:rsid w:val="003A2223"/>
    <w:rsid w:val="003A2A0F"/>
    <w:rsid w:val="003A45A1"/>
    <w:rsid w:val="003A5B0A"/>
    <w:rsid w:val="003A6BAC"/>
    <w:rsid w:val="003A7EF3"/>
    <w:rsid w:val="003B159C"/>
    <w:rsid w:val="003B23FA"/>
    <w:rsid w:val="003B369F"/>
    <w:rsid w:val="003B36A3"/>
    <w:rsid w:val="003B460B"/>
    <w:rsid w:val="003B7FE5"/>
    <w:rsid w:val="003C11C8"/>
    <w:rsid w:val="003C2702"/>
    <w:rsid w:val="003C3DFE"/>
    <w:rsid w:val="003C7806"/>
    <w:rsid w:val="003D109F"/>
    <w:rsid w:val="003D2478"/>
    <w:rsid w:val="003D3C45"/>
    <w:rsid w:val="003D5698"/>
    <w:rsid w:val="003D5B1F"/>
    <w:rsid w:val="003E15FA"/>
    <w:rsid w:val="003E55E4"/>
    <w:rsid w:val="003E74E3"/>
    <w:rsid w:val="003F05C7"/>
    <w:rsid w:val="003F2CD4"/>
    <w:rsid w:val="003F6BBE"/>
    <w:rsid w:val="004000E8"/>
    <w:rsid w:val="00400156"/>
    <w:rsid w:val="004003A8"/>
    <w:rsid w:val="00402E2B"/>
    <w:rsid w:val="0040512B"/>
    <w:rsid w:val="00405CA5"/>
    <w:rsid w:val="00407CD3"/>
    <w:rsid w:val="00410134"/>
    <w:rsid w:val="00410B72"/>
    <w:rsid w:val="00410F18"/>
    <w:rsid w:val="0041263E"/>
    <w:rsid w:val="00413AAC"/>
    <w:rsid w:val="0042074E"/>
    <w:rsid w:val="00421105"/>
    <w:rsid w:val="004242F4"/>
    <w:rsid w:val="00427248"/>
    <w:rsid w:val="00437447"/>
    <w:rsid w:val="00441A92"/>
    <w:rsid w:val="00444F56"/>
    <w:rsid w:val="00445660"/>
    <w:rsid w:val="00446488"/>
    <w:rsid w:val="00446568"/>
    <w:rsid w:val="004517AA"/>
    <w:rsid w:val="00452CAC"/>
    <w:rsid w:val="00457565"/>
    <w:rsid w:val="00457B71"/>
    <w:rsid w:val="00463718"/>
    <w:rsid w:val="004669E2"/>
    <w:rsid w:val="00470C31"/>
    <w:rsid w:val="004716B8"/>
    <w:rsid w:val="004734D0"/>
    <w:rsid w:val="0047556B"/>
    <w:rsid w:val="0047710D"/>
    <w:rsid w:val="00477768"/>
    <w:rsid w:val="00492BC5"/>
    <w:rsid w:val="004964F1"/>
    <w:rsid w:val="004A16BC"/>
    <w:rsid w:val="004A2B94"/>
    <w:rsid w:val="004A35E5"/>
    <w:rsid w:val="004A51F2"/>
    <w:rsid w:val="004B7C0C"/>
    <w:rsid w:val="004C2DB9"/>
    <w:rsid w:val="004C3898"/>
    <w:rsid w:val="004D36B1"/>
    <w:rsid w:val="004D7EBD"/>
    <w:rsid w:val="004E2680"/>
    <w:rsid w:val="004E28F9"/>
    <w:rsid w:val="004E462E"/>
    <w:rsid w:val="004E56DC"/>
    <w:rsid w:val="004E64A5"/>
    <w:rsid w:val="004E76F4"/>
    <w:rsid w:val="004F0B4E"/>
    <w:rsid w:val="004F0B6C"/>
    <w:rsid w:val="004F2078"/>
    <w:rsid w:val="004F4305"/>
    <w:rsid w:val="004F4DA3"/>
    <w:rsid w:val="00506557"/>
    <w:rsid w:val="0050677A"/>
    <w:rsid w:val="005108D8"/>
    <w:rsid w:val="005116F9"/>
    <w:rsid w:val="005153A7"/>
    <w:rsid w:val="005219CF"/>
    <w:rsid w:val="00534B59"/>
    <w:rsid w:val="00536759"/>
    <w:rsid w:val="00537C62"/>
    <w:rsid w:val="005408DE"/>
    <w:rsid w:val="00546970"/>
    <w:rsid w:val="00554E19"/>
    <w:rsid w:val="005608EC"/>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2559"/>
    <w:rsid w:val="005E385F"/>
    <w:rsid w:val="005E5B81"/>
    <w:rsid w:val="005F19B2"/>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5A3"/>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D3C"/>
    <w:rsid w:val="00683ECE"/>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1B70"/>
    <w:rsid w:val="006F341D"/>
    <w:rsid w:val="006F3CDE"/>
    <w:rsid w:val="006F58D4"/>
    <w:rsid w:val="00700120"/>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0A3"/>
    <w:rsid w:val="007B3D2D"/>
    <w:rsid w:val="007B50AE"/>
    <w:rsid w:val="007B51DF"/>
    <w:rsid w:val="007B5E58"/>
    <w:rsid w:val="007C05DD"/>
    <w:rsid w:val="007C3D18"/>
    <w:rsid w:val="007C60BF"/>
    <w:rsid w:val="007C6A07"/>
    <w:rsid w:val="007C75A1"/>
    <w:rsid w:val="007C77A5"/>
    <w:rsid w:val="007D04E5"/>
    <w:rsid w:val="007D5901"/>
    <w:rsid w:val="007D7526"/>
    <w:rsid w:val="007E4610"/>
    <w:rsid w:val="007E4715"/>
    <w:rsid w:val="007E505B"/>
    <w:rsid w:val="007E7091"/>
    <w:rsid w:val="007F2203"/>
    <w:rsid w:val="00803FAE"/>
    <w:rsid w:val="0080605F"/>
    <w:rsid w:val="00807786"/>
    <w:rsid w:val="00811FCB"/>
    <w:rsid w:val="008158D6"/>
    <w:rsid w:val="00817196"/>
    <w:rsid w:val="008235DB"/>
    <w:rsid w:val="00824AB4"/>
    <w:rsid w:val="00825C42"/>
    <w:rsid w:val="00825D25"/>
    <w:rsid w:val="00827D6F"/>
    <w:rsid w:val="00836684"/>
    <w:rsid w:val="008376AC"/>
    <w:rsid w:val="008444E8"/>
    <w:rsid w:val="00844E80"/>
    <w:rsid w:val="00846FE7"/>
    <w:rsid w:val="00854F97"/>
    <w:rsid w:val="00856911"/>
    <w:rsid w:val="008677FD"/>
    <w:rsid w:val="008706D4"/>
    <w:rsid w:val="00870F8A"/>
    <w:rsid w:val="008719A4"/>
    <w:rsid w:val="00871D23"/>
    <w:rsid w:val="00873389"/>
    <w:rsid w:val="00874312"/>
    <w:rsid w:val="0087437C"/>
    <w:rsid w:val="00875CD7"/>
    <w:rsid w:val="00876B4D"/>
    <w:rsid w:val="00877F18"/>
    <w:rsid w:val="0088316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7B6"/>
    <w:rsid w:val="008D34F1"/>
    <w:rsid w:val="008D39D8"/>
    <w:rsid w:val="008D6D1A"/>
    <w:rsid w:val="008E065E"/>
    <w:rsid w:val="008E0927"/>
    <w:rsid w:val="008E1909"/>
    <w:rsid w:val="008F1EAB"/>
    <w:rsid w:val="008F33DC"/>
    <w:rsid w:val="008F477F"/>
    <w:rsid w:val="008F7062"/>
    <w:rsid w:val="00902350"/>
    <w:rsid w:val="0090336B"/>
    <w:rsid w:val="009053AA"/>
    <w:rsid w:val="00906939"/>
    <w:rsid w:val="00910B7D"/>
    <w:rsid w:val="00911216"/>
    <w:rsid w:val="00911DFB"/>
    <w:rsid w:val="0091387D"/>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FF9"/>
    <w:rsid w:val="0095681E"/>
    <w:rsid w:val="009572D4"/>
    <w:rsid w:val="00961921"/>
    <w:rsid w:val="0096430A"/>
    <w:rsid w:val="0096554B"/>
    <w:rsid w:val="0096584A"/>
    <w:rsid w:val="00967897"/>
    <w:rsid w:val="00971F08"/>
    <w:rsid w:val="0097603D"/>
    <w:rsid w:val="00976949"/>
    <w:rsid w:val="00980477"/>
    <w:rsid w:val="00985253"/>
    <w:rsid w:val="009853B3"/>
    <w:rsid w:val="009868C7"/>
    <w:rsid w:val="00990630"/>
    <w:rsid w:val="00991761"/>
    <w:rsid w:val="00994DCA"/>
    <w:rsid w:val="009960EC"/>
    <w:rsid w:val="009970DD"/>
    <w:rsid w:val="009A0FBA"/>
    <w:rsid w:val="009A1601"/>
    <w:rsid w:val="009A462D"/>
    <w:rsid w:val="009A5CBA"/>
    <w:rsid w:val="009B01D3"/>
    <w:rsid w:val="009B1F30"/>
    <w:rsid w:val="009B2FF4"/>
    <w:rsid w:val="009B3AC2"/>
    <w:rsid w:val="009B4DF4"/>
    <w:rsid w:val="009B564E"/>
    <w:rsid w:val="009B7E87"/>
    <w:rsid w:val="009C403E"/>
    <w:rsid w:val="009D3E9D"/>
    <w:rsid w:val="009D4FF0"/>
    <w:rsid w:val="009D703C"/>
    <w:rsid w:val="009D718F"/>
    <w:rsid w:val="009E068F"/>
    <w:rsid w:val="009E14E0"/>
    <w:rsid w:val="009E22ED"/>
    <w:rsid w:val="009E35DB"/>
    <w:rsid w:val="009E47A3"/>
    <w:rsid w:val="009E7640"/>
    <w:rsid w:val="009F08F3"/>
    <w:rsid w:val="009F344F"/>
    <w:rsid w:val="00A0184C"/>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6C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2879"/>
    <w:rsid w:val="00A9442A"/>
    <w:rsid w:val="00AA016F"/>
    <w:rsid w:val="00AA1ED6"/>
    <w:rsid w:val="00AA51D6"/>
    <w:rsid w:val="00AB0BC8"/>
    <w:rsid w:val="00AB11CA"/>
    <w:rsid w:val="00AB14D9"/>
    <w:rsid w:val="00AB28A9"/>
    <w:rsid w:val="00AB4AB8"/>
    <w:rsid w:val="00AB655E"/>
    <w:rsid w:val="00AC007F"/>
    <w:rsid w:val="00AC2ECD"/>
    <w:rsid w:val="00AC3119"/>
    <w:rsid w:val="00AC49FB"/>
    <w:rsid w:val="00AC4EB6"/>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62C9"/>
    <w:rsid w:val="00B157F9"/>
    <w:rsid w:val="00B20256"/>
    <w:rsid w:val="00B20D09"/>
    <w:rsid w:val="00B26C55"/>
    <w:rsid w:val="00B2763F"/>
    <w:rsid w:val="00B27AAC"/>
    <w:rsid w:val="00B30929"/>
    <w:rsid w:val="00B372AA"/>
    <w:rsid w:val="00B40445"/>
    <w:rsid w:val="00B41888"/>
    <w:rsid w:val="00B45A52"/>
    <w:rsid w:val="00B46175"/>
    <w:rsid w:val="00B51178"/>
    <w:rsid w:val="00B51E37"/>
    <w:rsid w:val="00B5607A"/>
    <w:rsid w:val="00B6188F"/>
    <w:rsid w:val="00B619A8"/>
    <w:rsid w:val="00B664C7"/>
    <w:rsid w:val="00B739F6"/>
    <w:rsid w:val="00B81A6C"/>
    <w:rsid w:val="00B85DE5"/>
    <w:rsid w:val="00B86DDF"/>
    <w:rsid w:val="00B90F73"/>
    <w:rsid w:val="00B93B59"/>
    <w:rsid w:val="00B9406A"/>
    <w:rsid w:val="00B95E0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E2E"/>
    <w:rsid w:val="00C040F7"/>
    <w:rsid w:val="00C041B0"/>
    <w:rsid w:val="00C044AB"/>
    <w:rsid w:val="00C05706"/>
    <w:rsid w:val="00C07377"/>
    <w:rsid w:val="00C10478"/>
    <w:rsid w:val="00C12107"/>
    <w:rsid w:val="00C14D4B"/>
    <w:rsid w:val="00C154BB"/>
    <w:rsid w:val="00C24345"/>
    <w:rsid w:val="00C279B5"/>
    <w:rsid w:val="00C27C45"/>
    <w:rsid w:val="00C3719D"/>
    <w:rsid w:val="00C41162"/>
    <w:rsid w:val="00C54995"/>
    <w:rsid w:val="00C54D41"/>
    <w:rsid w:val="00C60783"/>
    <w:rsid w:val="00C64022"/>
    <w:rsid w:val="00C64672"/>
    <w:rsid w:val="00C65369"/>
    <w:rsid w:val="00C70697"/>
    <w:rsid w:val="00C72EF4"/>
    <w:rsid w:val="00C75D2F"/>
    <w:rsid w:val="00C767BE"/>
    <w:rsid w:val="00C76E3C"/>
    <w:rsid w:val="00C81568"/>
    <w:rsid w:val="00C86D11"/>
    <w:rsid w:val="00C8773F"/>
    <w:rsid w:val="00C9027A"/>
    <w:rsid w:val="00C9068E"/>
    <w:rsid w:val="00C93C4B"/>
    <w:rsid w:val="00C944AB"/>
    <w:rsid w:val="00C95B40"/>
    <w:rsid w:val="00CA1ED8"/>
    <w:rsid w:val="00CB1F63"/>
    <w:rsid w:val="00CB7170"/>
    <w:rsid w:val="00CB77AF"/>
    <w:rsid w:val="00CC040E"/>
    <w:rsid w:val="00CC111F"/>
    <w:rsid w:val="00CC1933"/>
    <w:rsid w:val="00CC2011"/>
    <w:rsid w:val="00CC3EA0"/>
    <w:rsid w:val="00CC7B45"/>
    <w:rsid w:val="00CD1188"/>
    <w:rsid w:val="00CD2ED1"/>
    <w:rsid w:val="00CD337B"/>
    <w:rsid w:val="00CE0424"/>
    <w:rsid w:val="00CE7561"/>
    <w:rsid w:val="00CF0CB3"/>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C86"/>
    <w:rsid w:val="00D37D87"/>
    <w:rsid w:val="00D40B33"/>
    <w:rsid w:val="00D4318F"/>
    <w:rsid w:val="00D438BF"/>
    <w:rsid w:val="00D440F8"/>
    <w:rsid w:val="00D50F97"/>
    <w:rsid w:val="00D546FF"/>
    <w:rsid w:val="00D55AD5"/>
    <w:rsid w:val="00D572ED"/>
    <w:rsid w:val="00D576CA"/>
    <w:rsid w:val="00D61AF5"/>
    <w:rsid w:val="00D652B5"/>
    <w:rsid w:val="00D66155"/>
    <w:rsid w:val="00D66F5C"/>
    <w:rsid w:val="00D708B0"/>
    <w:rsid w:val="00D77B1D"/>
    <w:rsid w:val="00D8021F"/>
    <w:rsid w:val="00D80383"/>
    <w:rsid w:val="00D823C6"/>
    <w:rsid w:val="00D86CA3"/>
    <w:rsid w:val="00D871CE"/>
    <w:rsid w:val="00D9196D"/>
    <w:rsid w:val="00D91BA7"/>
    <w:rsid w:val="00D92982"/>
    <w:rsid w:val="00D95035"/>
    <w:rsid w:val="00DA305E"/>
    <w:rsid w:val="00DA5417"/>
    <w:rsid w:val="00DA56E8"/>
    <w:rsid w:val="00DA7F14"/>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BEC"/>
    <w:rsid w:val="00E54E3B"/>
    <w:rsid w:val="00E563BF"/>
    <w:rsid w:val="00E57565"/>
    <w:rsid w:val="00E63838"/>
    <w:rsid w:val="00E64434"/>
    <w:rsid w:val="00E67C51"/>
    <w:rsid w:val="00E7012E"/>
    <w:rsid w:val="00E72EFC"/>
    <w:rsid w:val="00E758EC"/>
    <w:rsid w:val="00E8234C"/>
    <w:rsid w:val="00E83AA9"/>
    <w:rsid w:val="00E851B4"/>
    <w:rsid w:val="00E85928"/>
    <w:rsid w:val="00E87822"/>
    <w:rsid w:val="00E90395"/>
    <w:rsid w:val="00E90E49"/>
    <w:rsid w:val="00E917F9"/>
    <w:rsid w:val="00E9291C"/>
    <w:rsid w:val="00E93FFE"/>
    <w:rsid w:val="00E94F8A"/>
    <w:rsid w:val="00EA0BBD"/>
    <w:rsid w:val="00EA7A41"/>
    <w:rsid w:val="00EB077B"/>
    <w:rsid w:val="00EB4EA2"/>
    <w:rsid w:val="00EC27C6"/>
    <w:rsid w:val="00EC4207"/>
    <w:rsid w:val="00EC5653"/>
    <w:rsid w:val="00EC71CE"/>
    <w:rsid w:val="00ED1006"/>
    <w:rsid w:val="00ED3D6E"/>
    <w:rsid w:val="00EE3BA5"/>
    <w:rsid w:val="00EE6E2E"/>
    <w:rsid w:val="00EF18FE"/>
    <w:rsid w:val="00EF5787"/>
    <w:rsid w:val="00EF60D0"/>
    <w:rsid w:val="00F0528D"/>
    <w:rsid w:val="00F06C67"/>
    <w:rsid w:val="00F06DFD"/>
    <w:rsid w:val="00F071D1"/>
    <w:rsid w:val="00F07533"/>
    <w:rsid w:val="00F10629"/>
    <w:rsid w:val="00F1364C"/>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827"/>
    <w:rsid w:val="00F74BB9"/>
    <w:rsid w:val="00F74DAC"/>
    <w:rsid w:val="00F75582"/>
    <w:rsid w:val="00F76EFA"/>
    <w:rsid w:val="00F804BE"/>
    <w:rsid w:val="00F817CE"/>
    <w:rsid w:val="00F8456C"/>
    <w:rsid w:val="00F859D8"/>
    <w:rsid w:val="00F868F5"/>
    <w:rsid w:val="00F9056A"/>
    <w:rsid w:val="00F90F8D"/>
    <w:rsid w:val="00F92782"/>
    <w:rsid w:val="00F93AA9"/>
    <w:rsid w:val="00F9516A"/>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AAA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9D3E9D"/>
    <w:pPr>
      <w:ind w:left="720"/>
      <w:contextualSpacing/>
    </w:pPr>
  </w:style>
  <w:style w:type="character" w:styleId="PlaceholderText">
    <w:name w:val="Placeholder Text"/>
    <w:basedOn w:val="DefaultParagraphFont"/>
    <w:uiPriority w:val="99"/>
    <w:semiHidden/>
    <w:rsid w:val="005F19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73865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2435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861DB-3D61-403B-84DC-B35F8AD3F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1665</Words>
  <Characters>9491</Characters>
  <Application>Microsoft Office Word</Application>
  <DocSecurity>0</DocSecurity>
  <Lines>79</Lines>
  <Paragraphs>22</Paragraphs>
  <ScaleCrop>false</ScaleCrop>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2017-11-17T07:56:00Z</dcterms:created>
  <dcterms:modified xsi:type="dcterms:W3CDTF">2017-11-17T07:56:00Z</dcterms:modified>
</cp:coreProperties>
</file>